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6BF38" w14:textId="77777777" w:rsidR="005A14AD" w:rsidRDefault="005A14AD" w:rsidP="005A14AD">
      <w:pPr>
        <w:widowControl w:val="0"/>
        <w:bidi/>
        <w:spacing w:after="0"/>
        <w:jc w:val="center"/>
        <w:rPr>
          <w:rFonts w:cs="QuranTaha"/>
          <w:sz w:val="28"/>
          <w:szCs w:val="28"/>
          <w:lang w:bidi="fa-IR"/>
        </w:rPr>
      </w:pPr>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38D2BD82" w14:textId="77777777" w:rsidR="005A14AD" w:rsidRDefault="005A14AD" w:rsidP="005A14AD">
      <w:pPr>
        <w:widowControl w:val="0"/>
        <w:bidi/>
        <w:spacing w:after="0"/>
        <w:jc w:val="center"/>
        <w:rPr>
          <w:rFonts w:cs="B Mitra" w:hint="cs"/>
          <w:b/>
          <w:bCs/>
          <w:sz w:val="32"/>
          <w:szCs w:val="32"/>
          <w:rtl/>
          <w:lang w:bidi="fa-IR"/>
        </w:rPr>
      </w:pPr>
      <w:r>
        <w:rPr>
          <w:rFonts w:cs="B Mitra" w:hint="cs"/>
          <w:b/>
          <w:bCs/>
          <w:sz w:val="32"/>
          <w:szCs w:val="32"/>
          <w:rtl/>
          <w:lang w:bidi="fa-IR"/>
        </w:rPr>
        <w:t>تقریر بحث فقه</w:t>
      </w:r>
    </w:p>
    <w:p w14:paraId="07BCE8F1" w14:textId="77777777" w:rsidR="005A14AD" w:rsidRDefault="005A14AD" w:rsidP="005A14AD">
      <w:pPr>
        <w:widowControl w:val="0"/>
        <w:bidi/>
        <w:spacing w:after="0"/>
        <w:jc w:val="center"/>
        <w:rPr>
          <w:rFonts w:cs="B Mitra" w:hint="cs"/>
          <w:b/>
          <w:bCs/>
          <w:sz w:val="32"/>
          <w:szCs w:val="32"/>
          <w:rtl/>
          <w:lang w:bidi="fa-IR"/>
        </w:rPr>
      </w:pPr>
      <w:r>
        <w:rPr>
          <w:rFonts w:cs="B Mitra" w:hint="cs"/>
          <w:b/>
          <w:bCs/>
          <w:sz w:val="32"/>
          <w:szCs w:val="32"/>
          <w:rtl/>
          <w:lang w:bidi="fa-IR"/>
        </w:rPr>
        <w:t>جلسه 808</w:t>
      </w:r>
    </w:p>
    <w:p w14:paraId="75410851" w14:textId="77777777" w:rsidR="005A14AD" w:rsidRDefault="005A14AD" w:rsidP="005A14AD">
      <w:pPr>
        <w:pStyle w:val="NormalWeb"/>
        <w:widowControl w:val="0"/>
        <w:bidi/>
        <w:spacing w:before="0" w:beforeAutospacing="0" w:after="0" w:afterAutospacing="0" w:line="256" w:lineRule="auto"/>
        <w:ind w:firstLine="284"/>
        <w:jc w:val="both"/>
        <w:rPr>
          <w:rFonts w:cs="Abz-2 (Badr)" w:hint="cs"/>
          <w:sz w:val="28"/>
          <w:szCs w:val="28"/>
          <w:rtl/>
          <w:lang w:bidi="fa-IR"/>
        </w:rPr>
      </w:pPr>
      <w:bookmarkStart w:id="0" w:name="_Hlk159096966"/>
    </w:p>
    <w:bookmarkEnd w:id="0"/>
    <w:p w14:paraId="5AE8F00E" w14:textId="77777777" w:rsidR="005A14AD" w:rsidRDefault="005A14AD" w:rsidP="005A14AD">
      <w:pPr>
        <w:widowControl w:val="0"/>
        <w:bidi/>
        <w:spacing w:after="0"/>
        <w:ind w:firstLine="284"/>
        <w:jc w:val="both"/>
        <w:rPr>
          <w:rFonts w:cs="Abz-2 (Badr)" w:hint="cs"/>
          <w:sz w:val="28"/>
          <w:szCs w:val="28"/>
          <w:rtl/>
          <w:lang w:bidi="fa-IR"/>
        </w:rPr>
      </w:pPr>
      <w:r>
        <w:rPr>
          <w:rFonts w:cs="Abz-2 (Badr)" w:hint="cs"/>
          <w:sz w:val="28"/>
          <w:szCs w:val="28"/>
          <w:rtl/>
          <w:lang w:bidi="fa-IR"/>
        </w:rPr>
        <w:t>گفتيم که حق حضانت و حق ارضاع طفل شيرخوار، دو حق هستند که ملازمه</w:t>
      </w:r>
      <w:r>
        <w:rPr>
          <w:rFonts w:cs="Abz-2 (Badr)" w:hint="cs"/>
          <w:sz w:val="28"/>
          <w:szCs w:val="28"/>
          <w:rtl/>
          <w:lang w:bidi="fa-IR"/>
        </w:rPr>
        <w:softHyphen/>
        <w:t>ای بين آنها وجود ندارد.</w:t>
      </w:r>
    </w:p>
    <w:p w14:paraId="354E20D4" w14:textId="77777777" w:rsidR="005A14AD" w:rsidRDefault="005A14AD" w:rsidP="005A14AD">
      <w:pPr>
        <w:widowControl w:val="0"/>
        <w:bidi/>
        <w:spacing w:after="0"/>
        <w:ind w:firstLine="284"/>
        <w:jc w:val="both"/>
        <w:rPr>
          <w:rFonts w:cs="Abz-2 (Badr)" w:hint="cs"/>
          <w:sz w:val="28"/>
          <w:szCs w:val="28"/>
          <w:rtl/>
          <w:lang w:bidi="fa-IR"/>
        </w:rPr>
      </w:pPr>
      <w:r>
        <w:rPr>
          <w:rFonts w:cs="Abz-2 (Badr)" w:hint="cs"/>
          <w:sz w:val="28"/>
          <w:szCs w:val="28"/>
          <w:rtl/>
          <w:lang w:bidi="fa-IR"/>
        </w:rPr>
        <w:t>اما محقق بر خلاف اين مطلب در اين خصوص می</w:t>
      </w:r>
      <w:r>
        <w:rPr>
          <w:rFonts w:cs="Abz-2 (Badr)" w:hint="cs"/>
          <w:sz w:val="28"/>
          <w:szCs w:val="28"/>
          <w:rtl/>
          <w:lang w:bidi="fa-IR"/>
        </w:rPr>
        <w:softHyphen/>
        <w:t xml:space="preserve">فرمايد: </w:t>
      </w:r>
      <w:r>
        <w:rPr>
          <w:rFonts w:cs="Abz-2 (Badr)" w:hint="cs"/>
          <w:color w:val="0070C0"/>
          <w:sz w:val="28"/>
          <w:szCs w:val="28"/>
          <w:rtl/>
          <w:lang w:bidi="fa-IR"/>
        </w:rPr>
        <w:t>«</w:t>
      </w:r>
      <w:r>
        <w:rPr>
          <w:rFonts w:cs="Abz-2 (Badr)" w:hint="cs"/>
          <w:color w:val="0070C0"/>
          <w:sz w:val="28"/>
          <w:szCs w:val="28"/>
          <w:rtl/>
          <w:lang w:bidi="ar"/>
        </w:rPr>
        <w:t>إذا طلبت الأُمّ للرضاع أُجرة زائدة عن غيرها، فله تسليمه إلى الأجنبيّة. وفي سقوط حضانة الأُمّ تردّد والسقوط أشبه.»</w:t>
      </w:r>
      <w:r>
        <w:rPr>
          <w:rStyle w:val="FootnoteReference"/>
          <w:rFonts w:cs="Abz-2 (Badr)"/>
          <w:sz w:val="28"/>
          <w:szCs w:val="28"/>
          <w:rtl/>
          <w:lang w:bidi="ar"/>
        </w:rPr>
        <w:footnoteReference w:id="1"/>
      </w:r>
    </w:p>
    <w:p w14:paraId="114E3365" w14:textId="77777777" w:rsidR="005A14AD" w:rsidRDefault="005A14AD" w:rsidP="005A14AD">
      <w:pPr>
        <w:widowControl w:val="0"/>
        <w:bidi/>
        <w:spacing w:after="0"/>
        <w:ind w:firstLine="284"/>
        <w:jc w:val="both"/>
        <w:rPr>
          <w:rFonts w:cs="Abz-2 (Badr)" w:hint="cs"/>
          <w:color w:val="0070C0"/>
          <w:sz w:val="28"/>
          <w:szCs w:val="28"/>
          <w:rtl/>
          <w:lang w:bidi="ar"/>
        </w:rPr>
      </w:pPr>
      <w:r>
        <w:rPr>
          <w:rFonts w:cs="Abz-2 (Badr)" w:hint="cs"/>
          <w:sz w:val="28"/>
          <w:szCs w:val="28"/>
          <w:rtl/>
          <w:lang w:bidi="fa-IR"/>
        </w:rPr>
        <w:t>شهيد ثانی در توضيح اين مطلب و اشکال بر آن می</w:t>
      </w:r>
      <w:r>
        <w:rPr>
          <w:rFonts w:cs="Abz-2 (Badr)" w:hint="cs"/>
          <w:sz w:val="28"/>
          <w:szCs w:val="28"/>
          <w:rtl/>
          <w:lang w:bidi="fa-IR"/>
        </w:rPr>
        <w:softHyphen/>
        <w:t xml:space="preserve">فرمايد: </w:t>
      </w:r>
      <w:r>
        <w:rPr>
          <w:rFonts w:cs="Abz-2 (Badr)" w:hint="cs"/>
          <w:color w:val="0070C0"/>
          <w:sz w:val="28"/>
          <w:szCs w:val="28"/>
          <w:rtl/>
          <w:lang w:bidi="fa-IR"/>
        </w:rPr>
        <w:t>«</w:t>
      </w:r>
      <w:r>
        <w:rPr>
          <w:rFonts w:cs="Abz-2 (Badr)" w:hint="cs"/>
          <w:color w:val="0070C0"/>
          <w:sz w:val="28"/>
          <w:szCs w:val="28"/>
          <w:rtl/>
          <w:lang w:bidi="ar"/>
        </w:rPr>
        <w:t>منشأ التردّد من أنّهما حقّان متغايران، فلا يلزم من سقوط حقّها من أحدهما سقوطه من الآخر، وحقّ‌ الحضانة ليس مشروطاً بذلك.</w:t>
      </w:r>
    </w:p>
    <w:p w14:paraId="00165D06" w14:textId="77777777" w:rsidR="005A14AD" w:rsidRDefault="005A14AD" w:rsidP="005A14AD">
      <w:pPr>
        <w:widowControl w:val="0"/>
        <w:bidi/>
        <w:spacing w:after="0"/>
        <w:ind w:firstLine="284"/>
        <w:jc w:val="both"/>
        <w:rPr>
          <w:rFonts w:cs="Abz-2 (Badr)" w:hint="cs"/>
          <w:color w:val="0070C0"/>
          <w:sz w:val="28"/>
          <w:szCs w:val="28"/>
          <w:rtl/>
        </w:rPr>
      </w:pPr>
      <w:r>
        <w:rPr>
          <w:rFonts w:cs="Abz-2 (Badr)" w:hint="cs"/>
          <w:color w:val="0070C0"/>
          <w:sz w:val="28"/>
          <w:szCs w:val="28"/>
          <w:rtl/>
          <w:lang w:bidi="ar"/>
        </w:rPr>
        <w:t>ومن لزوم الحرج بتردّد المرضعة إليها في كلّ‌ وقت يحتاج الولد إلى الإرضاع، ودلالة قول الصادق(ع) في رواية داود بن الحصين: «فإن وجد الأب من يرضعه بأربعة دراهم وقالت الأُمّ: «لا أُرضعه إلا بخمسة دراهم» فإنّ له أن ينزعه منها» الحديث. وهذا هو الذي اختاره المصنّف.</w:t>
      </w:r>
    </w:p>
    <w:p w14:paraId="74FB4C8C" w14:textId="77777777" w:rsidR="005A14AD" w:rsidRDefault="005A14AD" w:rsidP="005A14AD">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وفي الأول قوّة. والضرر بذلك لا يبلغ حدّ إسقاط الحقّ‌ الثابت. والخبر ضعيف السند. ويمكن حمله على نزعه من جهة الرضاع لا مطلقاً.</w:t>
      </w:r>
    </w:p>
    <w:p w14:paraId="67B49EDB" w14:textId="77777777" w:rsidR="005A14AD" w:rsidRDefault="005A14AD" w:rsidP="005A14AD">
      <w:pPr>
        <w:widowControl w:val="0"/>
        <w:bidi/>
        <w:spacing w:after="0"/>
        <w:ind w:firstLine="284"/>
        <w:jc w:val="both"/>
        <w:rPr>
          <w:rFonts w:cs="Abz-2 (Badr)" w:hint="cs"/>
          <w:sz w:val="28"/>
          <w:szCs w:val="28"/>
          <w:rtl/>
          <w:lang w:bidi="fa-IR"/>
        </w:rPr>
      </w:pPr>
      <w:r>
        <w:rPr>
          <w:rFonts w:cs="Abz-2 (Badr)" w:hint="cs"/>
          <w:color w:val="0070C0"/>
          <w:sz w:val="28"/>
          <w:szCs w:val="28"/>
          <w:rtl/>
          <w:lang w:bidi="ar"/>
        </w:rPr>
        <w:t>وعلى هذا فتأتي المرضعة إليه إن أمكن وإلا حمل الولد إليها وقت الحاجة، فإن تعذّر جميع ذلك سقط حقّها من الحضانة حينئذٍ إن لم تتبرّع بالإرضاع إلى أن توجد مرضعة تأتي إليه أو يمكن نقله إليها كما مرّ، لأنّ حفظ الولد واجب ولا يتمّ‌ إلا بذلك، والضرر يتحقّق حينئذٍ.»</w:t>
      </w:r>
      <w:r>
        <w:rPr>
          <w:rStyle w:val="FootnoteReference"/>
          <w:rFonts w:cs="Abz-2 (Badr)"/>
          <w:sz w:val="28"/>
          <w:szCs w:val="28"/>
          <w:rtl/>
          <w:lang w:bidi="ar"/>
        </w:rPr>
        <w:footnoteReference w:id="2"/>
      </w:r>
    </w:p>
    <w:p w14:paraId="173F12C0" w14:textId="77777777" w:rsidR="005A14AD" w:rsidRDefault="005A14AD" w:rsidP="005A14AD">
      <w:pPr>
        <w:widowControl w:val="0"/>
        <w:bidi/>
        <w:spacing w:after="0"/>
        <w:ind w:firstLine="284"/>
        <w:jc w:val="both"/>
        <w:rPr>
          <w:rFonts w:cs="Abz-2 (Badr)" w:hint="cs"/>
          <w:sz w:val="28"/>
          <w:szCs w:val="28"/>
          <w:rtl/>
          <w:lang w:bidi="fa-IR"/>
        </w:rPr>
      </w:pPr>
      <w:r>
        <w:rPr>
          <w:rFonts w:cs="Abz-2 (Badr)" w:hint="cs"/>
          <w:sz w:val="28"/>
          <w:szCs w:val="28"/>
          <w:rtl/>
          <w:lang w:bidi="fa-IR"/>
        </w:rPr>
        <w:lastRenderedPageBreak/>
        <w:t>حق نيز در اين مطلب با شهيد ثانی است، هرچند ادعای ايشان در خصوص ضعف سند روايت پذيرفتنی نيست.</w:t>
      </w:r>
    </w:p>
    <w:p w14:paraId="69BF0565" w14:textId="77777777" w:rsidR="005A14AD" w:rsidRDefault="005A14AD" w:rsidP="005A14AD">
      <w:pPr>
        <w:widowControl w:val="0"/>
        <w:bidi/>
        <w:spacing w:after="0"/>
        <w:ind w:firstLine="284"/>
        <w:jc w:val="both"/>
        <w:rPr>
          <w:rFonts w:cs="Abz-2 (Badr)" w:hint="cs"/>
          <w:color w:val="0070C0"/>
          <w:sz w:val="28"/>
          <w:szCs w:val="28"/>
          <w:rtl/>
          <w:lang w:bidi="fa-IR"/>
        </w:rPr>
      </w:pPr>
      <w:r>
        <w:rPr>
          <w:rFonts w:cs="Abz-2 (Badr)" w:hint="cs"/>
          <w:sz w:val="28"/>
          <w:szCs w:val="28"/>
          <w:rtl/>
          <w:lang w:bidi="fa-IR"/>
        </w:rPr>
        <w:t>اما صاحب جواهر در تأييد مدعای محقق می</w:t>
      </w:r>
      <w:r>
        <w:rPr>
          <w:rFonts w:cs="Abz-2 (Badr)" w:hint="cs"/>
          <w:sz w:val="28"/>
          <w:szCs w:val="28"/>
          <w:rtl/>
          <w:lang w:bidi="fa-IR"/>
        </w:rPr>
        <w:softHyphen/>
        <w:t xml:space="preserve">فرمايد: </w:t>
      </w:r>
      <w:r>
        <w:rPr>
          <w:rFonts w:cs="Abz-2 (Badr)" w:hint="cs"/>
          <w:color w:val="0070C0"/>
          <w:sz w:val="28"/>
          <w:szCs w:val="28"/>
          <w:rtl/>
          <w:lang w:bidi="fa-IR"/>
        </w:rPr>
        <w:t>«</w:t>
      </w:r>
      <w:r>
        <w:rPr>
          <w:rFonts w:cs="Abz-2 (Badr)" w:hint="cs"/>
          <w:color w:val="0070C0"/>
          <w:sz w:val="28"/>
          <w:szCs w:val="28"/>
          <w:rtl/>
          <w:lang w:bidi="ar"/>
        </w:rPr>
        <w:t>السقوط هنا أشبه بأُصول المذهب وقواعده، ضرورة معلوميّة أصالة أحقّيّة الوالد بولده المنسوب إليه إلا أنّه خرج عنها الحضانة التابعة للرضاع، لأنّها المتيقّنة من النصّ، فيبقى غيرها على الأصل.»</w:t>
      </w:r>
      <w:r>
        <w:rPr>
          <w:rStyle w:val="FootnoteReference"/>
          <w:rFonts w:cs="Abz-2 (Badr)"/>
          <w:sz w:val="28"/>
          <w:szCs w:val="28"/>
          <w:rtl/>
          <w:lang w:bidi="ar"/>
        </w:rPr>
        <w:footnoteReference w:id="3"/>
      </w:r>
    </w:p>
    <w:p w14:paraId="603EF5FD" w14:textId="77777777" w:rsidR="005A14AD" w:rsidRDefault="005A14AD" w:rsidP="005A14AD">
      <w:pPr>
        <w:widowControl w:val="0"/>
        <w:bidi/>
        <w:spacing w:after="0"/>
        <w:ind w:firstLine="284"/>
        <w:jc w:val="both"/>
        <w:rPr>
          <w:rFonts w:cs="Abz-2 (Badr)" w:hint="cs"/>
          <w:sz w:val="28"/>
          <w:szCs w:val="28"/>
          <w:rtl/>
          <w:lang w:bidi="fa-IR"/>
        </w:rPr>
      </w:pPr>
      <w:r>
        <w:rPr>
          <w:rFonts w:cs="Abz-2 (Badr)" w:hint="cs"/>
          <w:sz w:val="28"/>
          <w:szCs w:val="28"/>
          <w:rtl/>
          <w:lang w:bidi="fa-IR"/>
        </w:rPr>
        <w:t>اما بسنده کردن به قدر متيقّن در صورتی است که در اخبار، روايتی وجود نداشته باشد که به نحو مطلق دلالت بر حق حضانت مادر کند، در حالی که اطلاق مذکور در اخباری مثل صحيحه ايّوب بن نوح موجود است.</w:t>
      </w:r>
    </w:p>
    <w:p w14:paraId="6A6FE63D" w14:textId="77777777" w:rsidR="005A14AD" w:rsidRDefault="005A14AD" w:rsidP="005A14AD">
      <w:pPr>
        <w:widowControl w:val="0"/>
        <w:bidi/>
        <w:spacing w:after="0" w:line="252" w:lineRule="auto"/>
        <w:ind w:firstLine="284"/>
        <w:jc w:val="both"/>
        <w:rPr>
          <w:rFonts w:cs="Abz-2 (Badr)" w:hint="cs"/>
          <w:sz w:val="28"/>
          <w:szCs w:val="28"/>
          <w:rtl/>
          <w:lang w:bidi="fa-IR"/>
        </w:rPr>
      </w:pPr>
      <w:r>
        <w:rPr>
          <w:rFonts w:cs="Abz-2 (Badr)" w:hint="cs"/>
          <w:sz w:val="28"/>
          <w:szCs w:val="28"/>
          <w:rtl/>
          <w:lang w:bidi="fa-IR"/>
        </w:rPr>
        <w:t>از کلمات برخی از قدماء اصحاب هم ظاهر می</w:t>
      </w:r>
      <w:r>
        <w:rPr>
          <w:rFonts w:cs="Abz-2 (Badr)" w:hint="cs"/>
          <w:sz w:val="28"/>
          <w:szCs w:val="28"/>
          <w:rtl/>
          <w:lang w:bidi="fa-IR"/>
        </w:rPr>
        <w:softHyphen/>
        <w:t>شود که بين اين دو حق فرق گذاشته</w:t>
      </w:r>
      <w:r>
        <w:rPr>
          <w:rFonts w:cs="Abz-2 (Badr)" w:hint="cs"/>
          <w:sz w:val="28"/>
          <w:szCs w:val="28"/>
          <w:rtl/>
          <w:lang w:bidi="fa-IR"/>
        </w:rPr>
        <w:softHyphen/>
        <w:t>اند.</w:t>
      </w:r>
    </w:p>
    <w:p w14:paraId="61E0B19D" w14:textId="77777777" w:rsidR="005A14AD" w:rsidRDefault="005A14AD" w:rsidP="005A14AD">
      <w:pPr>
        <w:widowControl w:val="0"/>
        <w:bidi/>
        <w:spacing w:after="0" w:line="252" w:lineRule="auto"/>
        <w:ind w:firstLine="284"/>
        <w:jc w:val="both"/>
        <w:rPr>
          <w:rFonts w:cs="Abz-2 (Badr)" w:hint="cs"/>
          <w:color w:val="0070C0"/>
          <w:sz w:val="28"/>
          <w:szCs w:val="28"/>
          <w:rtl/>
          <w:lang w:bidi="ar"/>
        </w:rPr>
      </w:pPr>
      <w:r>
        <w:rPr>
          <w:rFonts w:cs="Abz-2 (Badr)" w:hint="cs"/>
          <w:color w:val="000000" w:themeColor="text1"/>
          <w:sz w:val="28"/>
          <w:szCs w:val="28"/>
          <w:rtl/>
          <w:lang w:bidi="ar"/>
        </w:rPr>
        <w:t>حلبی در کافی می</w:t>
      </w:r>
      <w:r>
        <w:rPr>
          <w:rFonts w:cs="Abz-2 (Badr)" w:hint="cs"/>
          <w:color w:val="000000" w:themeColor="text1"/>
          <w:sz w:val="28"/>
          <w:szCs w:val="28"/>
          <w:rtl/>
          <w:lang w:bidi="ar"/>
        </w:rPr>
        <w:softHyphen/>
        <w:t xml:space="preserve">گويد: </w:t>
      </w:r>
      <w:r>
        <w:rPr>
          <w:rFonts w:cs="Abz-2 (Badr)" w:hint="cs"/>
          <w:color w:val="0070C0"/>
          <w:sz w:val="28"/>
          <w:szCs w:val="28"/>
          <w:rtl/>
          <w:lang w:bidi="ar"/>
        </w:rPr>
        <w:t>«وإذا طلّق الزوجة وله منها ولد يرضع، فهي أحقّ برضاعه وكفالته، ولها أجر الرضاع، فإن طلبت شططاً فوجد من يرضعه بالأجر القصد فرضيت به، فهي أحقّ به، وإن أبت سلّم إلى المرضعة، ولها كفالته على كلّ حال، ولها تسليمه الى أبيه.»</w:t>
      </w:r>
      <w:r>
        <w:rPr>
          <w:rStyle w:val="FootnoteReference"/>
          <w:rFonts w:cs="Abz-2 (Badr)"/>
          <w:sz w:val="28"/>
          <w:szCs w:val="28"/>
          <w:rtl/>
          <w:lang w:bidi="ar"/>
        </w:rPr>
        <w:footnoteReference w:id="4"/>
      </w:r>
    </w:p>
    <w:p w14:paraId="040AACC1" w14:textId="77777777" w:rsidR="005A14AD" w:rsidRDefault="005A14AD" w:rsidP="005A14AD">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بلکه در کلمات برخی از آنان تصريح به اين مطلب وجود دارد.</w:t>
      </w:r>
    </w:p>
    <w:p w14:paraId="28921DFD" w14:textId="77777777" w:rsidR="005A14AD" w:rsidRDefault="005A14AD" w:rsidP="005A14AD">
      <w:pPr>
        <w:widowControl w:val="0"/>
        <w:bidi/>
        <w:spacing w:after="0" w:line="252" w:lineRule="auto"/>
        <w:ind w:firstLine="284"/>
        <w:jc w:val="both"/>
        <w:rPr>
          <w:rFonts w:cs="Abz-2 (Badr)" w:hint="cs"/>
          <w:color w:val="0070C0"/>
          <w:sz w:val="28"/>
          <w:szCs w:val="28"/>
          <w:rtl/>
          <w:lang w:bidi="fa-IR"/>
        </w:rPr>
      </w:pPr>
      <w:r>
        <w:rPr>
          <w:rFonts w:cs="Abz-2 (Badr)" w:hint="cs"/>
          <w:color w:val="000000" w:themeColor="text1"/>
          <w:sz w:val="28"/>
          <w:szCs w:val="28"/>
          <w:rtl/>
          <w:lang w:bidi="fa-IR"/>
        </w:rPr>
        <w:t>ابن ادريس می</w:t>
      </w:r>
      <w:r>
        <w:rPr>
          <w:rFonts w:cs="Abz-2 (Badr)" w:hint="cs"/>
          <w:color w:val="000000" w:themeColor="text1"/>
          <w:sz w:val="28"/>
          <w:szCs w:val="28"/>
          <w:rtl/>
          <w:lang w:bidi="fa-IR"/>
        </w:rPr>
        <w:softHyphen/>
        <w:t xml:space="preserve">فرمايد: </w:t>
      </w:r>
      <w:r>
        <w:rPr>
          <w:rFonts w:cs="Abz-2 (Badr)" w:hint="cs"/>
          <w:color w:val="0070C0"/>
          <w:sz w:val="28"/>
          <w:szCs w:val="28"/>
          <w:rtl/>
          <w:lang w:bidi="fa-IR"/>
        </w:rPr>
        <w:t>«</w:t>
      </w:r>
      <w:r>
        <w:rPr>
          <w:rFonts w:cs="Abz-2 (Badr)" w:hint="cs"/>
          <w:color w:val="0070C0"/>
          <w:sz w:val="28"/>
          <w:szCs w:val="28"/>
          <w:rtl/>
        </w:rPr>
        <w:t>الحضانة غير الرضاع، لأنّ الأُمّ إذا لم ترض في أُجرة الرضاع بما يرضاه الغير، انتزعه الأب منها مع ثبوت الحضانة لها في هذه الحال، فإذا أرضعته الأجنبيّة التي رضيت بدون ما رضيت به أُمّه، كان للأُمّ حضانته، ثمّ إذا احتاج إلى اللبن ترضعه المرضعة، ثمّ تأخذه الأُمّ بحقّ الحضانة إذا روي من اللبن، ثمّ هكذا، فليلحظ ذلك.»</w:t>
      </w:r>
      <w:r>
        <w:rPr>
          <w:rStyle w:val="FootnoteReference"/>
          <w:rFonts w:cs="Abz-2 (Badr)"/>
          <w:sz w:val="28"/>
          <w:szCs w:val="28"/>
          <w:rtl/>
          <w:lang w:bidi="ar"/>
        </w:rPr>
        <w:footnoteReference w:id="5"/>
      </w:r>
    </w:p>
    <w:p w14:paraId="08953D65" w14:textId="77777777" w:rsidR="005A14AD" w:rsidRDefault="005A14AD" w:rsidP="005A14AD">
      <w:pPr>
        <w:widowControl w:val="0"/>
        <w:bidi/>
        <w:spacing w:after="0" w:line="252" w:lineRule="auto"/>
        <w:ind w:firstLine="284"/>
        <w:jc w:val="both"/>
        <w:rPr>
          <w:rFonts w:cs="Abz-2 (Badr)" w:hint="cs"/>
          <w:sz w:val="28"/>
          <w:szCs w:val="28"/>
          <w:rtl/>
          <w:lang w:bidi="fa-IR"/>
        </w:rPr>
      </w:pPr>
      <w:r>
        <w:rPr>
          <w:rFonts w:cs="Abz-2 (Badr)" w:hint="cs"/>
          <w:sz w:val="28"/>
          <w:szCs w:val="28"/>
          <w:rtl/>
          <w:lang w:bidi="fa-IR"/>
        </w:rPr>
        <w:t>بله، چنانچه مستند حق حضانت مادر در مدت شيرخوارگی طفل، اخباری مثل خبر فضل ابی العبّاس و خبر ابی الصبّاح و حسنه حلبی باشد، بايد پذيرفت که با پايان يافتن اين دوره ولو قبل از دو سال، حق حضانت مادر نيز به پايان می</w:t>
      </w:r>
      <w:r>
        <w:rPr>
          <w:rFonts w:cs="Abz-2 (Badr)" w:hint="cs"/>
          <w:sz w:val="28"/>
          <w:szCs w:val="28"/>
          <w:rtl/>
          <w:lang w:bidi="fa-IR"/>
        </w:rPr>
        <w:softHyphen/>
        <w:t>رسد، زيرا اين اخبار حداکثر حق مادر را در مدت رضاع طفل ثابت می</w:t>
      </w:r>
      <w:r>
        <w:rPr>
          <w:rFonts w:cs="Abz-2 (Badr)" w:hint="cs"/>
          <w:sz w:val="28"/>
          <w:szCs w:val="28"/>
          <w:rtl/>
          <w:lang w:bidi="fa-IR"/>
        </w:rPr>
        <w:softHyphen/>
        <w:t>کنند و دلالتی بيش از آن ندارند.</w:t>
      </w:r>
    </w:p>
    <w:p w14:paraId="6060EDEF" w14:textId="77777777" w:rsidR="005A14AD" w:rsidRDefault="005A14AD" w:rsidP="005A14AD">
      <w:pPr>
        <w:widowControl w:val="0"/>
        <w:bidi/>
        <w:spacing w:after="0" w:line="252" w:lineRule="auto"/>
        <w:ind w:firstLine="284"/>
        <w:jc w:val="both"/>
        <w:rPr>
          <w:rFonts w:cs="Abz-2 (Badr)" w:hint="cs"/>
          <w:sz w:val="28"/>
          <w:szCs w:val="28"/>
          <w:rtl/>
          <w:lang w:bidi="fa-IR"/>
        </w:rPr>
      </w:pPr>
      <w:r>
        <w:rPr>
          <w:rFonts w:cs="Abz-2 (Badr)" w:hint="cs"/>
          <w:sz w:val="28"/>
          <w:szCs w:val="28"/>
          <w:rtl/>
          <w:lang w:bidi="fa-IR"/>
        </w:rPr>
        <w:lastRenderedPageBreak/>
        <w:t xml:space="preserve">اما صاحب جواهر بر خلاف اين مطلب فرموده است: </w:t>
      </w:r>
      <w:r>
        <w:rPr>
          <w:rFonts w:cs="Abz-2 (Badr)" w:hint="cs"/>
          <w:color w:val="0070C0"/>
          <w:sz w:val="28"/>
          <w:szCs w:val="28"/>
          <w:rtl/>
          <w:lang w:bidi="fa-IR"/>
        </w:rPr>
        <w:t>«إ</w:t>
      </w:r>
      <w:r>
        <w:rPr>
          <w:rFonts w:cs="Abz-2 (Badr)" w:hint="cs"/>
          <w:color w:val="0070C0"/>
          <w:sz w:val="28"/>
          <w:szCs w:val="28"/>
          <w:rtl/>
          <w:lang w:bidi="ar"/>
        </w:rPr>
        <w:t>نّ ما قلناه من الحضانة للأُمّ مدّة الرضاعة ـ أي الحولين ـ مشروط بارتضاعه منها، فلو فطم قبل الحولين ترتفع حضانتهاكما هو مقتضى قوله(ع): «فإذا فطم فالأب أحقّ منها»؟ أو أنّ لها الحضانة في مدّة تمام الحولين وإن فطم قبلهما وإنّما ترتفع حضانتها بتمامهما وإن بقي يرتضع بعدهما؟ وجهان، لا يخلو ثانيهما من قوة، للأصل وإمكان تنزيل قوله(ع): «حتّى يفطم» على الغالب من الحولين.»</w:t>
      </w:r>
      <w:r>
        <w:rPr>
          <w:rStyle w:val="FootnoteReference"/>
          <w:rFonts w:cs="Abz-2 (Badr)"/>
          <w:sz w:val="28"/>
          <w:szCs w:val="28"/>
          <w:rtl/>
          <w:lang w:bidi="ar"/>
        </w:rPr>
        <w:footnoteReference w:id="6"/>
      </w:r>
    </w:p>
    <w:p w14:paraId="0194C40B" w14:textId="77777777" w:rsidR="005A14AD" w:rsidRDefault="005A14AD" w:rsidP="005A14AD">
      <w:pPr>
        <w:widowControl w:val="0"/>
        <w:bidi/>
        <w:spacing w:after="0" w:line="252" w:lineRule="auto"/>
        <w:ind w:firstLine="284"/>
        <w:jc w:val="both"/>
        <w:rPr>
          <w:rFonts w:cs="Abz-2 (Badr)" w:hint="cs"/>
          <w:sz w:val="28"/>
          <w:szCs w:val="28"/>
          <w:rtl/>
          <w:lang w:bidi="fa-IR"/>
        </w:rPr>
      </w:pPr>
      <w:r>
        <w:rPr>
          <w:rFonts w:cs="Abz-2 (Badr)" w:hint="cs"/>
          <w:sz w:val="28"/>
          <w:szCs w:val="28"/>
          <w:rtl/>
          <w:lang w:bidi="fa-IR"/>
        </w:rPr>
        <w:t>ولی وجهی برای تمسّک به اصل با وجود دليل وجود ندارد. همان گونه که دست برداشتن از ظاهر دليل بدون وجود قرينه، قابل قبول نيست و غلبه خارجيه نمی</w:t>
      </w:r>
      <w:r>
        <w:rPr>
          <w:rFonts w:cs="Abz-2 (Badr)" w:hint="cs"/>
          <w:sz w:val="28"/>
          <w:szCs w:val="28"/>
          <w:rtl/>
          <w:lang w:bidi="fa-IR"/>
        </w:rPr>
        <w:softHyphen/>
        <w:t>تواند قرينه</w:t>
      </w:r>
      <w:r>
        <w:rPr>
          <w:rFonts w:cs="Abz-2 (Badr)" w:hint="cs"/>
          <w:sz w:val="28"/>
          <w:szCs w:val="28"/>
          <w:rtl/>
          <w:lang w:bidi="fa-IR"/>
        </w:rPr>
        <w:softHyphen/>
        <w:t>ای برای رفع يد از ظهور کلام باشد.</w:t>
      </w:r>
    </w:p>
    <w:p w14:paraId="433181C8" w14:textId="77777777" w:rsidR="005A14AD" w:rsidRDefault="005A14AD" w:rsidP="005A14AD">
      <w:pPr>
        <w:widowControl w:val="0"/>
        <w:bidi/>
        <w:spacing w:after="0" w:line="252" w:lineRule="auto"/>
        <w:ind w:firstLine="284"/>
        <w:jc w:val="both"/>
        <w:rPr>
          <w:rFonts w:cs="Abz-2 (Badr)" w:hint="cs"/>
          <w:sz w:val="28"/>
          <w:szCs w:val="28"/>
          <w:rtl/>
          <w:lang w:bidi="fa-IR"/>
        </w:rPr>
      </w:pPr>
      <w:bookmarkStart w:id="1" w:name="_Hlk195856986"/>
      <w:r>
        <w:rPr>
          <w:rFonts w:cs="Abz-2 (Badr)" w:hint="cs"/>
          <w:sz w:val="28"/>
          <w:szCs w:val="28"/>
          <w:rtl/>
          <w:lang w:bidi="fa-IR"/>
        </w:rPr>
        <w:t>با توجه به اين مطالب، معلوم می</w:t>
      </w:r>
      <w:r>
        <w:rPr>
          <w:rFonts w:cs="Abz-2 (Badr)" w:hint="cs"/>
          <w:sz w:val="28"/>
          <w:szCs w:val="28"/>
          <w:rtl/>
          <w:lang w:bidi="fa-IR"/>
        </w:rPr>
        <w:softHyphen/>
        <w:t>شود که سه روايت مذکور ـ يعنی خبر فضل ابی العبّاس و خبر ابی الصبّاح و حسنه حلبی ـ ارتباطی به بحث حضانت ندارند.</w:t>
      </w:r>
    </w:p>
    <w:p w14:paraId="5D4CC0CE" w14:textId="77777777" w:rsidR="005A14AD" w:rsidRDefault="005A14AD" w:rsidP="005A14AD">
      <w:pPr>
        <w:widowControl w:val="0"/>
        <w:bidi/>
        <w:spacing w:after="0" w:line="252" w:lineRule="auto"/>
        <w:ind w:firstLine="284"/>
        <w:jc w:val="both"/>
        <w:rPr>
          <w:rFonts w:cs="Abz-2 (Badr)" w:hint="cs"/>
          <w:sz w:val="28"/>
          <w:szCs w:val="28"/>
          <w:rtl/>
          <w:lang w:bidi="fa-IR"/>
        </w:rPr>
      </w:pPr>
      <w:r>
        <w:rPr>
          <w:rFonts w:cs="Abz-2 (Badr)" w:hint="cs"/>
          <w:sz w:val="28"/>
          <w:szCs w:val="28"/>
          <w:rtl/>
          <w:lang w:bidi="fa-IR"/>
        </w:rPr>
        <w:t>وجه عدم ارتباط معتبره جميل و ابن بکير به مبحث حضانت نيز سابقاً بيان شد.</w:t>
      </w:r>
    </w:p>
    <w:p w14:paraId="648D7A65" w14:textId="77777777" w:rsidR="005A14AD" w:rsidRDefault="005A14AD" w:rsidP="005A14AD">
      <w:pPr>
        <w:widowControl w:val="0"/>
        <w:bidi/>
        <w:spacing w:after="0" w:line="252" w:lineRule="auto"/>
        <w:ind w:firstLine="284"/>
        <w:jc w:val="both"/>
        <w:rPr>
          <w:rFonts w:cs="Abz-2 (Badr)" w:hint="cs"/>
          <w:sz w:val="28"/>
          <w:szCs w:val="28"/>
          <w:rtl/>
          <w:lang w:bidi="fa-IR"/>
        </w:rPr>
      </w:pPr>
      <w:r>
        <w:rPr>
          <w:rFonts w:cs="Abz-2 (Badr)" w:hint="cs"/>
          <w:sz w:val="28"/>
          <w:szCs w:val="28"/>
          <w:rtl/>
          <w:lang w:bidi="fa-IR"/>
        </w:rPr>
        <w:t>و اما مرسله منقری هرچند مربوط به بحث حضانت است اما به جهت ضعف سندی دارای اعتبار نيست.</w:t>
      </w:r>
    </w:p>
    <w:p w14:paraId="229D738C" w14:textId="77777777" w:rsidR="005A14AD" w:rsidRDefault="005A14AD" w:rsidP="005A14AD">
      <w:pPr>
        <w:widowControl w:val="0"/>
        <w:bidi/>
        <w:spacing w:after="0" w:line="252" w:lineRule="auto"/>
        <w:ind w:firstLine="284"/>
        <w:jc w:val="both"/>
        <w:rPr>
          <w:rFonts w:cs="Abz-2 (Badr)" w:hint="cs"/>
          <w:sz w:val="28"/>
          <w:szCs w:val="28"/>
          <w:rtl/>
          <w:lang w:bidi="fa-IR"/>
        </w:rPr>
      </w:pPr>
      <w:r>
        <w:rPr>
          <w:rFonts w:cs="Abz-2 (Badr)" w:hint="cs"/>
          <w:sz w:val="28"/>
          <w:szCs w:val="28"/>
          <w:rtl/>
          <w:lang w:bidi="fa-IR"/>
        </w:rPr>
        <w:t>بنابر اين آنچه که در مقام باقی می</w:t>
      </w:r>
      <w:r>
        <w:rPr>
          <w:rFonts w:cs="Abz-2 (Badr)" w:hint="cs"/>
          <w:sz w:val="28"/>
          <w:szCs w:val="28"/>
          <w:rtl/>
          <w:lang w:bidi="fa-IR"/>
        </w:rPr>
        <w:softHyphen/>
        <w:t>ماند، صحيحه فضيل بن يسار و موثقه داود رقی و صحيحه ايّوب بن نوح است که طريق جمع بين آنها را جلسه بعد عرض خواهيم کرد.</w:t>
      </w:r>
      <w:bookmarkEnd w:id="1"/>
    </w:p>
    <w:p w14:paraId="358854CE" w14:textId="728BED45" w:rsidR="0027088A" w:rsidRPr="00990AA6" w:rsidRDefault="0027088A" w:rsidP="00D853CF">
      <w:pPr>
        <w:widowControl w:val="0"/>
        <w:bidi/>
        <w:spacing w:after="0" w:line="250" w:lineRule="auto"/>
        <w:ind w:firstLine="284"/>
        <w:jc w:val="both"/>
        <w:rPr>
          <w:rFonts w:cs="Abz-2 (Badr)"/>
          <w:sz w:val="28"/>
          <w:szCs w:val="28"/>
          <w:lang w:bidi="fa-IR"/>
        </w:rPr>
      </w:pPr>
    </w:p>
    <w:sectPr w:rsidR="0027088A" w:rsidRPr="00990AA6" w:rsidSect="005A14AD">
      <w:headerReference w:type="default" r:id="rId7"/>
      <w:footerReference w:type="default" r:id="rId8"/>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16278" w14:textId="77777777" w:rsidR="00160305" w:rsidRDefault="00160305" w:rsidP="00F71127">
      <w:pPr>
        <w:spacing w:after="0" w:line="240" w:lineRule="auto"/>
      </w:pPr>
      <w:r>
        <w:separator/>
      </w:r>
    </w:p>
  </w:endnote>
  <w:endnote w:type="continuationSeparator" w:id="0">
    <w:p w14:paraId="7992BC7A" w14:textId="77777777" w:rsidR="00160305" w:rsidRDefault="00160305"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EACCE" w14:textId="77777777" w:rsidR="00160305" w:rsidRDefault="00160305" w:rsidP="00EE25C0">
      <w:pPr>
        <w:bidi/>
        <w:spacing w:after="0" w:line="240" w:lineRule="auto"/>
      </w:pPr>
      <w:r>
        <w:separator/>
      </w:r>
    </w:p>
  </w:footnote>
  <w:footnote w:type="continuationSeparator" w:id="0">
    <w:p w14:paraId="0A637925" w14:textId="77777777" w:rsidR="00160305" w:rsidRDefault="00160305" w:rsidP="00F71127">
      <w:pPr>
        <w:bidi/>
        <w:spacing w:after="0" w:line="240" w:lineRule="auto"/>
      </w:pPr>
      <w:r>
        <w:continuationSeparator/>
      </w:r>
    </w:p>
  </w:footnote>
  <w:footnote w:id="1">
    <w:p w14:paraId="0D668932" w14:textId="77777777" w:rsidR="005A14AD" w:rsidRDefault="005A14AD" w:rsidP="005A14AD">
      <w:pPr>
        <w:widowControl w:val="0"/>
        <w:bidi/>
        <w:spacing w:after="0" w:line="264" w:lineRule="auto"/>
        <w:rPr>
          <w:rFonts w:cs="Abz-2 (Badr)"/>
          <w:lang w:bidi="fa-IR"/>
        </w:rPr>
      </w:pPr>
      <w:r>
        <w:rPr>
          <w:rStyle w:val="FootnoteReference"/>
          <w:rFonts w:cs="Abz-2 (Badr)"/>
        </w:rPr>
        <w:footnoteRef/>
      </w:r>
      <w:r>
        <w:rPr>
          <w:rFonts w:cs="Abz-2 (Badr)"/>
        </w:rPr>
        <w:t xml:space="preserve"> </w:t>
      </w:r>
      <w:r>
        <w:rPr>
          <w:rFonts w:cs="Abz-2 (Badr)" w:hint="cs"/>
          <w:rtl/>
        </w:rPr>
        <w:t>ـ شرائع،ج2،ص290.</w:t>
      </w:r>
    </w:p>
  </w:footnote>
  <w:footnote w:id="2">
    <w:p w14:paraId="31A9F3A5" w14:textId="77777777" w:rsidR="005A14AD" w:rsidRDefault="005A14AD" w:rsidP="005A14AD">
      <w:pPr>
        <w:widowControl w:val="0"/>
        <w:bidi/>
        <w:spacing w:after="0" w:line="264" w:lineRule="auto"/>
        <w:rPr>
          <w:rFonts w:cs="Abz-2 (Badr)" w:hint="cs"/>
          <w:rtl/>
          <w:lang w:bidi="fa-IR"/>
        </w:rPr>
      </w:pPr>
      <w:r>
        <w:rPr>
          <w:rStyle w:val="FootnoteReference"/>
          <w:rFonts w:cs="Abz-2 (Badr)"/>
        </w:rPr>
        <w:footnoteRef/>
      </w:r>
      <w:r>
        <w:rPr>
          <w:rFonts w:cs="Abz-2 (Badr)"/>
        </w:rPr>
        <w:t xml:space="preserve"> </w:t>
      </w:r>
      <w:r>
        <w:rPr>
          <w:rFonts w:cs="Abz-2 (Badr)" w:hint="cs"/>
          <w:rtl/>
        </w:rPr>
        <w:t xml:space="preserve">ـ </w:t>
      </w:r>
      <w:r>
        <w:rPr>
          <w:rFonts w:cs="Abz-2 (Badr)" w:hint="cs"/>
          <w:rtl/>
        </w:rPr>
        <w:t>مسالك،ج8،ص435 و 436.</w:t>
      </w:r>
    </w:p>
  </w:footnote>
  <w:footnote w:id="3">
    <w:p w14:paraId="5FF4C86C" w14:textId="77777777" w:rsidR="005A14AD" w:rsidRDefault="005A14AD" w:rsidP="005A14AD">
      <w:pPr>
        <w:widowControl w:val="0"/>
        <w:bidi/>
        <w:spacing w:after="0" w:line="264" w:lineRule="auto"/>
        <w:rPr>
          <w:rFonts w:cs="Abz-2 (Badr)" w:hint="cs"/>
          <w:rtl/>
          <w:lang w:bidi="fa-IR"/>
        </w:rPr>
      </w:pPr>
      <w:r>
        <w:rPr>
          <w:rStyle w:val="FootnoteReference"/>
          <w:rFonts w:cs="Abz-2 (Badr)"/>
        </w:rPr>
        <w:footnoteRef/>
      </w:r>
      <w:r>
        <w:rPr>
          <w:rFonts w:cs="Abz-2 (Badr)"/>
        </w:rPr>
        <w:t xml:space="preserve"> </w:t>
      </w:r>
      <w:r>
        <w:rPr>
          <w:rFonts w:cs="Abz-2 (Badr)" w:hint="cs"/>
          <w:rtl/>
        </w:rPr>
        <w:t xml:space="preserve">ـ </w:t>
      </w:r>
      <w:r>
        <w:rPr>
          <w:rFonts w:cs="Abz-2 (Badr)" w:hint="cs"/>
          <w:rtl/>
        </w:rPr>
        <w:t>جواهر،ج31،ص300.</w:t>
      </w:r>
    </w:p>
  </w:footnote>
  <w:footnote w:id="4">
    <w:p w14:paraId="4CB9BC03" w14:textId="77777777" w:rsidR="005A14AD" w:rsidRDefault="005A14AD" w:rsidP="005A14AD">
      <w:pPr>
        <w:widowControl w:val="0"/>
        <w:bidi/>
        <w:spacing w:after="0" w:line="264" w:lineRule="auto"/>
        <w:rPr>
          <w:rFonts w:cs="Abz-2 (Badr)" w:hint="cs"/>
          <w:rtl/>
          <w:lang w:bidi="fa-IR"/>
        </w:rPr>
      </w:pPr>
      <w:r>
        <w:rPr>
          <w:rStyle w:val="FootnoteReference"/>
          <w:rFonts w:cs="Abz-2 (Badr)"/>
        </w:rPr>
        <w:footnoteRef/>
      </w:r>
      <w:r>
        <w:rPr>
          <w:rFonts w:cs="Abz-2 (Badr)"/>
        </w:rPr>
        <w:t xml:space="preserve"> </w:t>
      </w:r>
      <w:r>
        <w:rPr>
          <w:rFonts w:cs="Abz-2 (Badr)" w:hint="cs"/>
          <w:rtl/>
        </w:rPr>
        <w:t xml:space="preserve">ـ </w:t>
      </w:r>
      <w:r>
        <w:rPr>
          <w:rFonts w:cs="Abz-2 (Badr)" w:hint="cs"/>
          <w:rtl/>
        </w:rPr>
        <w:t>الکافی فی الفقه،ص316.</w:t>
      </w:r>
    </w:p>
  </w:footnote>
  <w:footnote w:id="5">
    <w:p w14:paraId="0C6EA4B2" w14:textId="77777777" w:rsidR="005A14AD" w:rsidRDefault="005A14AD" w:rsidP="005A14AD">
      <w:pPr>
        <w:widowControl w:val="0"/>
        <w:bidi/>
        <w:spacing w:after="0" w:line="264" w:lineRule="auto"/>
        <w:rPr>
          <w:rFonts w:cs="Abz-2 (Badr)" w:hint="cs"/>
          <w:rtl/>
          <w:lang w:bidi="fa-IR"/>
        </w:rPr>
      </w:pPr>
      <w:r>
        <w:rPr>
          <w:rStyle w:val="FootnoteReference"/>
          <w:rFonts w:cs="Abz-2 (Badr)"/>
        </w:rPr>
        <w:footnoteRef/>
      </w:r>
      <w:r>
        <w:rPr>
          <w:rFonts w:cs="Abz-2 (Badr)"/>
        </w:rPr>
        <w:t xml:space="preserve"> </w:t>
      </w:r>
      <w:r>
        <w:rPr>
          <w:rFonts w:cs="Abz-2 (Badr)" w:hint="cs"/>
          <w:rtl/>
        </w:rPr>
        <w:t xml:space="preserve">ـ </w:t>
      </w:r>
      <w:r>
        <w:rPr>
          <w:rFonts w:cs="Abz-2 (Badr)" w:hint="cs"/>
          <w:rtl/>
        </w:rPr>
        <w:t>سرا</w:t>
      </w:r>
      <w:r>
        <w:rPr>
          <w:rFonts w:cs="Abz-2 (Badr)" w:hint="cs"/>
          <w:rtl/>
          <w:lang w:bidi="fa-IR"/>
        </w:rPr>
        <w:t>ئر</w:t>
      </w:r>
      <w:r>
        <w:rPr>
          <w:rFonts w:cs="Abz-2 (Badr)" w:hint="cs"/>
          <w:rtl/>
        </w:rPr>
        <w:t>،ج2،ص652.</w:t>
      </w:r>
    </w:p>
  </w:footnote>
  <w:footnote w:id="6">
    <w:p w14:paraId="0BB0FFD5" w14:textId="77777777" w:rsidR="005A14AD" w:rsidRDefault="005A14AD" w:rsidP="005A14AD">
      <w:pPr>
        <w:widowControl w:val="0"/>
        <w:bidi/>
        <w:spacing w:after="0" w:line="264" w:lineRule="auto"/>
        <w:rPr>
          <w:rFonts w:cs="Abz-2 (Badr)" w:hint="cs"/>
          <w:rtl/>
          <w:lang w:bidi="fa-IR"/>
        </w:rPr>
      </w:pPr>
      <w:r>
        <w:rPr>
          <w:rStyle w:val="FootnoteReference"/>
          <w:rFonts w:cs="Abz-2 (Badr)"/>
        </w:rPr>
        <w:footnoteRef/>
      </w:r>
      <w:r>
        <w:rPr>
          <w:rFonts w:cs="Abz-2 (Badr)"/>
        </w:rPr>
        <w:t xml:space="preserve"> </w:t>
      </w:r>
      <w:r>
        <w:rPr>
          <w:rFonts w:cs="Abz-2 (Badr)" w:hint="cs"/>
          <w:rtl/>
        </w:rPr>
        <w:t xml:space="preserve">ـ </w:t>
      </w:r>
      <w:r>
        <w:rPr>
          <w:rFonts w:cs="Abz-2 (Badr)" w:hint="cs"/>
          <w:rtl/>
        </w:rPr>
        <w:t>جواهر،ج31،ص290.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12883B99">
              <wp:simplePos x="0" y="0"/>
              <wp:positionH relativeFrom="column">
                <wp:posOffset>1652270</wp:posOffset>
              </wp:positionH>
              <wp:positionV relativeFrom="paragraph">
                <wp:posOffset>180975</wp:posOffset>
              </wp:positionV>
              <wp:extent cx="4427220" cy="20097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220" cy="200977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77777777" w:rsidR="005D7224" w:rsidRDefault="005D7224" w:rsidP="005D7224">
                          <w:pPr>
                            <w:jc w:val="right"/>
                            <w:rPr>
                              <w:rFonts w:cs="B Mehr"/>
                            </w:rPr>
                          </w:pPr>
                          <w:r>
                            <w:rPr>
                              <w:rFonts w:cs="B Mehr" w:hint="cs"/>
                              <w:rtl/>
                            </w:rPr>
                            <w:t>مبحث:  نکاح - احکام  اولاد</w:t>
                          </w:r>
                        </w:p>
                        <w:p w14:paraId="3F96BF3F" w14:textId="266101B9" w:rsidR="005D7224" w:rsidRDefault="005D7224" w:rsidP="005D7224">
                          <w:pPr>
                            <w:bidi/>
                          </w:pPr>
                          <w:r>
                            <w:rPr>
                              <w:rFonts w:cs="B Mehr" w:hint="cs"/>
                              <w:rtl/>
                            </w:rPr>
                            <w:t xml:space="preserve">تاریخ: </w:t>
                          </w:r>
                          <w:r>
                            <w:rPr>
                              <w:rFonts w:cs="B Mehr" w:hint="cs"/>
                              <w:lang w:bidi="fa-IR"/>
                            </w:rPr>
                            <w:t xml:space="preserve"> </w:t>
                          </w:r>
                          <w:r>
                            <w:rPr>
                              <w:rFonts w:cs="B Mehr" w:hint="cs"/>
                              <w:rtl/>
                              <w:lang w:bidi="fa-IR"/>
                            </w:rPr>
                            <w:t xml:space="preserve"> شنبه </w:t>
                          </w:r>
                          <w:r>
                            <w:rPr>
                              <w:rFonts w:cs="B Mehr" w:hint="cs"/>
                              <w:rtl/>
                            </w:rPr>
                            <w:t>،   30  فر</w:t>
                          </w:r>
                          <w:r>
                            <w:rPr>
                              <w:rFonts w:cs="B Mehr" w:hint="cs"/>
                              <w:rtl/>
                              <w:lang w:bidi="fa-IR"/>
                            </w:rPr>
                            <w:t>وردین</w:t>
                          </w:r>
                          <w:r>
                            <w:rPr>
                              <w:rFonts w:cs="B Mehr" w:hint="cs"/>
                              <w:rtl/>
                            </w:rPr>
                            <w:t xml:space="preserve">  ماه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30.1pt;margin-top:14.25pt;width:348.6pt;height:158.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77777777" w:rsidR="005D7224" w:rsidRDefault="005D7224" w:rsidP="005D7224">
                    <w:pPr>
                      <w:jc w:val="right"/>
                      <w:rPr>
                        <w:rFonts w:cs="B Mehr"/>
                      </w:rPr>
                    </w:pPr>
                    <w:r>
                      <w:rPr>
                        <w:rFonts w:cs="B Mehr" w:hint="cs"/>
                        <w:rtl/>
                      </w:rPr>
                      <w:t>مبحث:  نکاح - احکام  اولاد</w:t>
                    </w:r>
                  </w:p>
                  <w:p w14:paraId="3F96BF3F" w14:textId="266101B9" w:rsidR="005D7224" w:rsidRDefault="005D7224" w:rsidP="005D7224">
                    <w:pPr>
                      <w:bidi/>
                    </w:pPr>
                    <w:r>
                      <w:rPr>
                        <w:rFonts w:cs="B Mehr" w:hint="cs"/>
                        <w:rtl/>
                      </w:rPr>
                      <w:t xml:space="preserve">تاریخ: </w:t>
                    </w:r>
                    <w:r>
                      <w:rPr>
                        <w:rFonts w:cs="B Mehr" w:hint="cs"/>
                        <w:lang w:bidi="fa-IR"/>
                      </w:rPr>
                      <w:t xml:space="preserve"> </w:t>
                    </w:r>
                    <w:r>
                      <w:rPr>
                        <w:rFonts w:cs="B Mehr" w:hint="cs"/>
                        <w:rtl/>
                        <w:lang w:bidi="fa-IR"/>
                      </w:rPr>
                      <w:t xml:space="preserve"> شنبه </w:t>
                    </w:r>
                    <w:r>
                      <w:rPr>
                        <w:rFonts w:cs="B Mehr" w:hint="cs"/>
                        <w:rtl/>
                      </w:rPr>
                      <w:t>،   30  فر</w:t>
                    </w:r>
                    <w:r>
                      <w:rPr>
                        <w:rFonts w:cs="B Mehr" w:hint="cs"/>
                        <w:rtl/>
                        <w:lang w:bidi="fa-IR"/>
                      </w:rPr>
                      <w:t>وردین</w:t>
                    </w:r>
                    <w:r>
                      <w:rPr>
                        <w:rFonts w:cs="B Mehr" w:hint="cs"/>
                        <w:rtl/>
                      </w:rPr>
                      <w:t xml:space="preserve">  ماه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77D0"/>
    <w:rsid w:val="000879BF"/>
    <w:rsid w:val="00087DF6"/>
    <w:rsid w:val="00090434"/>
    <w:rsid w:val="000906D6"/>
    <w:rsid w:val="00090F44"/>
    <w:rsid w:val="0009163B"/>
    <w:rsid w:val="0009310C"/>
    <w:rsid w:val="000935EF"/>
    <w:rsid w:val="0009371A"/>
    <w:rsid w:val="000944F3"/>
    <w:rsid w:val="00094F05"/>
    <w:rsid w:val="0009574F"/>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351C"/>
    <w:rsid w:val="00123C66"/>
    <w:rsid w:val="00125597"/>
    <w:rsid w:val="001255F1"/>
    <w:rsid w:val="00125951"/>
    <w:rsid w:val="00125FA8"/>
    <w:rsid w:val="00125FDD"/>
    <w:rsid w:val="0012644A"/>
    <w:rsid w:val="0012691C"/>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2500"/>
    <w:rsid w:val="001E259D"/>
    <w:rsid w:val="001E2F1F"/>
    <w:rsid w:val="001E316E"/>
    <w:rsid w:val="001E42BD"/>
    <w:rsid w:val="001E42C2"/>
    <w:rsid w:val="001E4A2F"/>
    <w:rsid w:val="001E5318"/>
    <w:rsid w:val="001E5F90"/>
    <w:rsid w:val="001E7DD4"/>
    <w:rsid w:val="001F0D9D"/>
    <w:rsid w:val="001F10F8"/>
    <w:rsid w:val="001F22D4"/>
    <w:rsid w:val="001F2AD5"/>
    <w:rsid w:val="001F2B6B"/>
    <w:rsid w:val="001F4E1F"/>
    <w:rsid w:val="001F55A0"/>
    <w:rsid w:val="001F5FEF"/>
    <w:rsid w:val="001F7036"/>
    <w:rsid w:val="001F7146"/>
    <w:rsid w:val="001F7742"/>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3760"/>
    <w:rsid w:val="00224A02"/>
    <w:rsid w:val="00224B4E"/>
    <w:rsid w:val="00225039"/>
    <w:rsid w:val="0022642F"/>
    <w:rsid w:val="00226A06"/>
    <w:rsid w:val="00226BFA"/>
    <w:rsid w:val="002275B4"/>
    <w:rsid w:val="00230ACF"/>
    <w:rsid w:val="00230EC1"/>
    <w:rsid w:val="0023164B"/>
    <w:rsid w:val="002316AF"/>
    <w:rsid w:val="00231CAC"/>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3017E"/>
    <w:rsid w:val="00430B2C"/>
    <w:rsid w:val="004325DD"/>
    <w:rsid w:val="00432F13"/>
    <w:rsid w:val="00433357"/>
    <w:rsid w:val="0043340D"/>
    <w:rsid w:val="004335E4"/>
    <w:rsid w:val="00434053"/>
    <w:rsid w:val="004342E8"/>
    <w:rsid w:val="00435007"/>
    <w:rsid w:val="0043525A"/>
    <w:rsid w:val="004360B2"/>
    <w:rsid w:val="00436E12"/>
    <w:rsid w:val="0043733E"/>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6CD"/>
    <w:rsid w:val="004B2B59"/>
    <w:rsid w:val="004B2CAB"/>
    <w:rsid w:val="004B2FF5"/>
    <w:rsid w:val="004B3F7E"/>
    <w:rsid w:val="004B41A1"/>
    <w:rsid w:val="004B52DC"/>
    <w:rsid w:val="004B5767"/>
    <w:rsid w:val="004B57B3"/>
    <w:rsid w:val="004B6027"/>
    <w:rsid w:val="004B66D4"/>
    <w:rsid w:val="004B67F7"/>
    <w:rsid w:val="004B69C8"/>
    <w:rsid w:val="004B6FFA"/>
    <w:rsid w:val="004B709D"/>
    <w:rsid w:val="004B7366"/>
    <w:rsid w:val="004B78A6"/>
    <w:rsid w:val="004C09DD"/>
    <w:rsid w:val="004C0A9B"/>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501417"/>
    <w:rsid w:val="00501DA0"/>
    <w:rsid w:val="00501E11"/>
    <w:rsid w:val="00501E40"/>
    <w:rsid w:val="00504523"/>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7568"/>
    <w:rsid w:val="00517CCA"/>
    <w:rsid w:val="005204D0"/>
    <w:rsid w:val="0052082D"/>
    <w:rsid w:val="00520A5D"/>
    <w:rsid w:val="00520BC4"/>
    <w:rsid w:val="00520FB1"/>
    <w:rsid w:val="00521235"/>
    <w:rsid w:val="0052165F"/>
    <w:rsid w:val="00521B22"/>
    <w:rsid w:val="00522B2B"/>
    <w:rsid w:val="00522B9E"/>
    <w:rsid w:val="00523571"/>
    <w:rsid w:val="0052404B"/>
    <w:rsid w:val="00524815"/>
    <w:rsid w:val="00524A85"/>
    <w:rsid w:val="0052536B"/>
    <w:rsid w:val="00525A13"/>
    <w:rsid w:val="00525E9B"/>
    <w:rsid w:val="00526273"/>
    <w:rsid w:val="0052728F"/>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45A6"/>
    <w:rsid w:val="00554B94"/>
    <w:rsid w:val="00554D35"/>
    <w:rsid w:val="0055671F"/>
    <w:rsid w:val="00556729"/>
    <w:rsid w:val="00556776"/>
    <w:rsid w:val="005568E8"/>
    <w:rsid w:val="00557416"/>
    <w:rsid w:val="0056175F"/>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A82"/>
    <w:rsid w:val="005C1591"/>
    <w:rsid w:val="005C2DC4"/>
    <w:rsid w:val="005C3A1D"/>
    <w:rsid w:val="005C577D"/>
    <w:rsid w:val="005C60D7"/>
    <w:rsid w:val="005C654C"/>
    <w:rsid w:val="005C6E90"/>
    <w:rsid w:val="005C7D5D"/>
    <w:rsid w:val="005C7DD3"/>
    <w:rsid w:val="005D0294"/>
    <w:rsid w:val="005D18C9"/>
    <w:rsid w:val="005D1A30"/>
    <w:rsid w:val="005D1C00"/>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8F"/>
    <w:rsid w:val="005F65C7"/>
    <w:rsid w:val="005F74ED"/>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BC3"/>
    <w:rsid w:val="00667EE7"/>
    <w:rsid w:val="00670EA6"/>
    <w:rsid w:val="00670F2A"/>
    <w:rsid w:val="00671351"/>
    <w:rsid w:val="0067352E"/>
    <w:rsid w:val="006735C7"/>
    <w:rsid w:val="006735D7"/>
    <w:rsid w:val="00673B72"/>
    <w:rsid w:val="006744EB"/>
    <w:rsid w:val="006746D0"/>
    <w:rsid w:val="00674B91"/>
    <w:rsid w:val="00675339"/>
    <w:rsid w:val="00675E3A"/>
    <w:rsid w:val="006779C5"/>
    <w:rsid w:val="00677FD6"/>
    <w:rsid w:val="00681573"/>
    <w:rsid w:val="00681BD4"/>
    <w:rsid w:val="006835A9"/>
    <w:rsid w:val="00683E00"/>
    <w:rsid w:val="00684597"/>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73B"/>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8AD"/>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11A"/>
    <w:rsid w:val="00814C68"/>
    <w:rsid w:val="00814D9E"/>
    <w:rsid w:val="0081576B"/>
    <w:rsid w:val="00816176"/>
    <w:rsid w:val="008161AB"/>
    <w:rsid w:val="00816D94"/>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4DD1"/>
    <w:rsid w:val="0083511D"/>
    <w:rsid w:val="008353D8"/>
    <w:rsid w:val="0083604C"/>
    <w:rsid w:val="00836783"/>
    <w:rsid w:val="00836FC7"/>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360A"/>
    <w:rsid w:val="00874389"/>
    <w:rsid w:val="008744A3"/>
    <w:rsid w:val="008751D3"/>
    <w:rsid w:val="008755CE"/>
    <w:rsid w:val="00875CD7"/>
    <w:rsid w:val="00875F23"/>
    <w:rsid w:val="00876056"/>
    <w:rsid w:val="00876372"/>
    <w:rsid w:val="00880173"/>
    <w:rsid w:val="00880698"/>
    <w:rsid w:val="00880E6D"/>
    <w:rsid w:val="00881627"/>
    <w:rsid w:val="00881E43"/>
    <w:rsid w:val="00882A45"/>
    <w:rsid w:val="008830C4"/>
    <w:rsid w:val="00883153"/>
    <w:rsid w:val="00884197"/>
    <w:rsid w:val="00884A15"/>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A014A"/>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314A"/>
    <w:rsid w:val="00A23159"/>
    <w:rsid w:val="00A23AD9"/>
    <w:rsid w:val="00A2412C"/>
    <w:rsid w:val="00A24ED5"/>
    <w:rsid w:val="00A25398"/>
    <w:rsid w:val="00A264FF"/>
    <w:rsid w:val="00A2700D"/>
    <w:rsid w:val="00A272BC"/>
    <w:rsid w:val="00A27527"/>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FF9"/>
    <w:rsid w:val="00A82392"/>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122B"/>
    <w:rsid w:val="00A913AC"/>
    <w:rsid w:val="00A917B6"/>
    <w:rsid w:val="00A91B59"/>
    <w:rsid w:val="00A932BF"/>
    <w:rsid w:val="00A93D74"/>
    <w:rsid w:val="00A93E43"/>
    <w:rsid w:val="00A943A7"/>
    <w:rsid w:val="00A96A24"/>
    <w:rsid w:val="00A97C4F"/>
    <w:rsid w:val="00AA1271"/>
    <w:rsid w:val="00AA2440"/>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3EC"/>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1B91"/>
    <w:rsid w:val="00B7242C"/>
    <w:rsid w:val="00B73524"/>
    <w:rsid w:val="00B73698"/>
    <w:rsid w:val="00B74363"/>
    <w:rsid w:val="00B74659"/>
    <w:rsid w:val="00B7468F"/>
    <w:rsid w:val="00B7484F"/>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FA6"/>
    <w:rsid w:val="00BF2570"/>
    <w:rsid w:val="00BF2C43"/>
    <w:rsid w:val="00BF2CBE"/>
    <w:rsid w:val="00BF46B9"/>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7225"/>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5EC"/>
    <w:rsid w:val="00EA36CE"/>
    <w:rsid w:val="00EA3E74"/>
    <w:rsid w:val="00EA57A0"/>
    <w:rsid w:val="00EA5958"/>
    <w:rsid w:val="00EA648C"/>
    <w:rsid w:val="00EA7966"/>
    <w:rsid w:val="00EB050B"/>
    <w:rsid w:val="00EB1D58"/>
    <w:rsid w:val="00EB26DB"/>
    <w:rsid w:val="00EB2FF6"/>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763E"/>
    <w:rsid w:val="00F17CBB"/>
    <w:rsid w:val="00F22DCF"/>
    <w:rsid w:val="00F248CE"/>
    <w:rsid w:val="00F24CA8"/>
    <w:rsid w:val="00F25A88"/>
    <w:rsid w:val="00F2670D"/>
    <w:rsid w:val="00F275E0"/>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E2"/>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9052E"/>
    <w:rsid w:val="00F90A95"/>
    <w:rsid w:val="00F90A99"/>
    <w:rsid w:val="00F90DD3"/>
    <w:rsid w:val="00F91736"/>
    <w:rsid w:val="00F92E2D"/>
    <w:rsid w:val="00F93448"/>
    <w:rsid w:val="00F94B59"/>
    <w:rsid w:val="00F95ADD"/>
    <w:rsid w:val="00F967A9"/>
    <w:rsid w:val="00F96918"/>
    <w:rsid w:val="00F96EF4"/>
    <w:rsid w:val="00F97D88"/>
    <w:rsid w:val="00FA05E8"/>
    <w:rsid w:val="00FA14D9"/>
    <w:rsid w:val="00FA1A37"/>
    <w:rsid w:val="00FA1D7F"/>
    <w:rsid w:val="00FA310B"/>
    <w:rsid w:val="00FA3411"/>
    <w:rsid w:val="00FA3904"/>
    <w:rsid w:val="00FA3DF2"/>
    <w:rsid w:val="00FA41CD"/>
    <w:rsid w:val="00FA41F1"/>
    <w:rsid w:val="00FA4541"/>
    <w:rsid w:val="00FA4D69"/>
    <w:rsid w:val="00FA52DD"/>
    <w:rsid w:val="00FA5403"/>
    <w:rsid w:val="00FA5DD1"/>
    <w:rsid w:val="00FA6266"/>
    <w:rsid w:val="00FA69B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2D69"/>
    <w:rsid w:val="00FE339B"/>
    <w:rsid w:val="00FE3CCD"/>
    <w:rsid w:val="00FE3E51"/>
    <w:rsid w:val="00FE4A36"/>
    <w:rsid w:val="00FE5178"/>
    <w:rsid w:val="00FE5CC2"/>
    <w:rsid w:val="00FE64B4"/>
    <w:rsid w:val="00FE741C"/>
    <w:rsid w:val="00FE7F32"/>
    <w:rsid w:val="00FF0795"/>
    <w:rsid w:val="00FF3A94"/>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21715</TotalTime>
  <Pages>1</Pages>
  <Words>550</Words>
  <Characters>3139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532</cp:revision>
  <cp:lastPrinted>2025-04-14T09:12:00Z</cp:lastPrinted>
  <dcterms:created xsi:type="dcterms:W3CDTF">2022-10-16T08:36:00Z</dcterms:created>
  <dcterms:modified xsi:type="dcterms:W3CDTF">2025-04-19T15:20:00Z</dcterms:modified>
</cp:coreProperties>
</file>